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95594">
      <w:pPr>
        <w:keepNext w:val="0"/>
        <w:keepLines w:val="0"/>
        <w:pageBreakBefore w:val="0"/>
        <w:kinsoku/>
        <w:overflowPunct/>
        <w:topLinePunct w:val="0"/>
        <w:autoSpaceDE/>
        <w:autoSpaceDN/>
        <w:bidi w:val="0"/>
        <w:adjustRightInd/>
        <w:snapToGrid/>
        <w:spacing w:before="372" w:line="360" w:lineRule="auto"/>
        <w:jc w:val="both"/>
        <w:outlineLvl w:val="0"/>
        <w:rPr>
          <w:rFonts w:hint="eastAsia" w:cs="宋体"/>
          <w:sz w:val="28"/>
          <w:szCs w:val="28"/>
          <w:lang w:val="en-US" w:eastAsia="zh-CN"/>
        </w:rPr>
      </w:pPr>
      <w:r>
        <w:rPr>
          <w:rFonts w:hint="eastAsia" w:cs="宋体"/>
          <w:sz w:val="28"/>
          <w:szCs w:val="28"/>
          <w:lang w:val="en-US" w:eastAsia="zh-CN"/>
        </w:rPr>
        <w:t>附件1</w:t>
      </w:r>
      <w:r>
        <w:rPr>
          <w:rFonts w:hint="eastAsia" w:ascii="宋体" w:hAnsi="宋体" w:eastAsia="宋体" w:cs="宋体"/>
          <w:sz w:val="28"/>
          <w:szCs w:val="28"/>
          <w:lang w:val="en-US" w:eastAsia="zh-CN"/>
        </w:rPr>
        <w:t>：</w:t>
      </w:r>
      <w:r>
        <w:rPr>
          <w:rFonts w:hint="eastAsia" w:cs="宋体"/>
          <w:sz w:val="28"/>
          <w:szCs w:val="28"/>
          <w:lang w:val="en-US" w:eastAsia="zh-CN"/>
        </w:rPr>
        <w:t xml:space="preserve">   </w:t>
      </w:r>
    </w:p>
    <w:p w14:paraId="7D1396E6">
      <w:pPr>
        <w:keepNext w:val="0"/>
        <w:keepLines w:val="0"/>
        <w:pageBreakBefore w:val="0"/>
        <w:kinsoku/>
        <w:overflowPunct/>
        <w:topLinePunct w:val="0"/>
        <w:autoSpaceDE/>
        <w:autoSpaceDN/>
        <w:bidi w:val="0"/>
        <w:adjustRightInd/>
        <w:snapToGrid/>
        <w:spacing w:before="372" w:line="360" w:lineRule="auto"/>
        <w:jc w:val="center"/>
        <w:outlineLvl w:val="0"/>
        <w:rPr>
          <w:rFonts w:hint="default" w:ascii="宋体" w:hAnsi="宋体" w:eastAsia="宋体" w:cs="宋体"/>
          <w:b/>
          <w:bCs/>
          <w:color w:val="000008"/>
          <w:spacing w:val="-1"/>
          <w:sz w:val="28"/>
          <w:szCs w:val="28"/>
          <w:lang w:val="en-US"/>
        </w:rPr>
      </w:pPr>
      <w:r>
        <w:rPr>
          <w:rFonts w:hint="eastAsia" w:ascii="宋体" w:hAnsi="宋体" w:eastAsia="宋体" w:cs="宋体"/>
          <w:b/>
          <w:bCs/>
          <w:color w:val="000008"/>
          <w:spacing w:val="-1"/>
          <w:sz w:val="28"/>
          <w:szCs w:val="28"/>
        </w:rPr>
        <w:t>全自动</w:t>
      </w:r>
      <w:r>
        <w:rPr>
          <w:rStyle w:val="4"/>
          <w:rFonts w:hint="eastAsia" w:cs="宋体"/>
          <w:b/>
          <w:bCs/>
          <w:color w:val="auto"/>
          <w:sz w:val="32"/>
          <w:szCs w:val="32"/>
          <w:u w:val="none"/>
          <w:lang w:val="en-US" w:eastAsia="zh-CN"/>
        </w:rPr>
        <w:t>结核基因检测仪主要技术参数</w:t>
      </w:r>
    </w:p>
    <w:p w14:paraId="31DCC448">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lang w:val="en-US" w:eastAsia="zh-CN"/>
        </w:rPr>
      </w:pPr>
    </w:p>
    <w:p w14:paraId="53D0F0C4">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、主要用途：从痰液</w:t>
      </w:r>
      <w:r>
        <w:rPr>
          <w:rFonts w:hint="eastAsia" w:ascii="宋体" w:hAnsi="宋体" w:eastAsia="宋体" w:cs="宋体"/>
          <w:sz w:val="28"/>
          <w:szCs w:val="28"/>
          <w:lang w:val="en-US" w:eastAsia="zh-CN"/>
        </w:rPr>
        <w:t>等</w:t>
      </w:r>
      <w:r>
        <w:rPr>
          <w:rFonts w:hint="eastAsia" w:ascii="宋体" w:hAnsi="宋体" w:eastAsia="宋体" w:cs="宋体"/>
          <w:sz w:val="28"/>
          <w:szCs w:val="28"/>
        </w:rPr>
        <w:t>样本中直接进行结核分枝杆菌鉴定及利福平耐药的相关检测，单试剂盒同时报告结核分枝杆菌鉴定和利福平</w:t>
      </w:r>
      <w:r>
        <w:rPr>
          <w:rFonts w:hint="eastAsia" w:ascii="宋体" w:hAnsi="宋体" w:eastAsia="宋体" w:cs="宋体"/>
          <w:sz w:val="28"/>
          <w:szCs w:val="28"/>
          <w:lang w:val="en-US" w:eastAsia="zh-CN"/>
        </w:rPr>
        <w:t>耐药</w:t>
      </w:r>
      <w:r>
        <w:rPr>
          <w:rFonts w:hint="eastAsia" w:ascii="宋体" w:hAnsi="宋体" w:eastAsia="宋体" w:cs="宋体"/>
          <w:sz w:val="28"/>
          <w:szCs w:val="28"/>
        </w:rPr>
        <w:t>结果；</w:t>
      </w:r>
    </w:p>
    <w:p w14:paraId="337C4CC7">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color w:val="000008"/>
          <w:spacing w:val="-1"/>
          <w:sz w:val="28"/>
          <w:szCs w:val="28"/>
          <w:lang w:val="en-US" w:eastAsia="zh-CN"/>
        </w:rPr>
        <w:t>*</w:t>
      </w:r>
      <w:r>
        <w:rPr>
          <w:rFonts w:hint="eastAsia" w:ascii="宋体" w:hAnsi="宋体" w:eastAsia="宋体" w:cs="宋体"/>
          <w:sz w:val="28"/>
          <w:szCs w:val="28"/>
          <w:lang w:val="en-US" w:eastAsia="zh-CN"/>
        </w:rPr>
        <w:t>2</w:t>
      </w:r>
      <w:r>
        <w:rPr>
          <w:rFonts w:hint="eastAsia" w:ascii="宋体" w:hAnsi="宋体" w:eastAsia="宋体" w:cs="宋体"/>
          <w:sz w:val="28"/>
          <w:szCs w:val="28"/>
        </w:rPr>
        <w:t>、</w:t>
      </w:r>
      <w:r>
        <w:rPr>
          <w:rFonts w:hint="eastAsia" w:ascii="宋体" w:hAnsi="宋体" w:eastAsia="宋体" w:cs="宋体"/>
          <w:sz w:val="28"/>
          <w:szCs w:val="28"/>
          <w:lang w:val="en-US" w:eastAsia="zh-CN"/>
        </w:rPr>
        <w:t>可独立运行模块数量≥4，</w:t>
      </w:r>
      <w:r>
        <w:rPr>
          <w:rFonts w:hint="eastAsia" w:ascii="宋体" w:hAnsi="宋体" w:eastAsia="宋体" w:cs="宋体"/>
          <w:sz w:val="28"/>
          <w:szCs w:val="28"/>
        </w:rPr>
        <w:t>模块相互独立，互不干扰，实现不同样本、不同检测项目的随到随检；</w:t>
      </w:r>
    </w:p>
    <w:p w14:paraId="248DF01A">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、设备操作流程简单，无需手工添加核酸提取及扩增试剂；</w:t>
      </w:r>
    </w:p>
    <w:p w14:paraId="14083E86">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*4、配套试剂耗材已在湖北省医用耗材集中采购系统挂网成功并提供挂网截图</w:t>
      </w:r>
      <w:r>
        <w:rPr>
          <w:rFonts w:hint="eastAsia" w:ascii="宋体" w:hAnsi="宋体" w:eastAsia="宋体" w:cs="宋体"/>
          <w:sz w:val="28"/>
          <w:szCs w:val="28"/>
        </w:rPr>
        <w:t>；</w:t>
      </w:r>
    </w:p>
    <w:p w14:paraId="4AD61062">
      <w:pPr>
        <w:keepNext w:val="0"/>
        <w:keepLines w:val="0"/>
        <w:pageBreakBefore w:val="0"/>
        <w:numPr>
          <w:ilvl w:val="0"/>
          <w:numId w:val="0"/>
        </w:numPr>
        <w:kinsoku/>
        <w:wordWrap w:val="0"/>
        <w:overflowPunct/>
        <w:topLinePunct w:val="0"/>
        <w:autoSpaceDE/>
        <w:autoSpaceDN/>
        <w:bidi w:val="0"/>
        <w:adjustRightInd/>
        <w:snapToGrid/>
        <w:spacing w:line="360" w:lineRule="auto"/>
        <w:textAlignment w:val="baseline"/>
        <w:rPr>
          <w:rFonts w:hint="eastAsia" w:ascii="宋体" w:hAnsi="宋体" w:eastAsia="宋体" w:cs="宋体"/>
          <w:b w:val="0"/>
          <w:bCs w:val="0"/>
          <w:snapToGrid w:val="0"/>
          <w:color w:val="000000"/>
          <w:kern w:val="0"/>
          <w:sz w:val="28"/>
          <w:szCs w:val="28"/>
          <w:lang w:val="en-US" w:eastAsia="zh-CN" w:bidi="ar-SA"/>
        </w:rPr>
      </w:pPr>
      <w:r>
        <w:rPr>
          <w:rFonts w:hint="eastAsia" w:ascii="宋体" w:hAnsi="宋体" w:eastAsia="宋体" w:cs="宋体"/>
          <w:color w:val="000008"/>
          <w:spacing w:val="-1"/>
          <w:sz w:val="28"/>
          <w:szCs w:val="28"/>
          <w:lang w:val="en-US" w:eastAsia="zh-CN"/>
        </w:rPr>
        <w:t>*5</w:t>
      </w:r>
      <w:r>
        <w:rPr>
          <w:rFonts w:hint="eastAsia" w:ascii="宋体" w:hAnsi="宋体" w:eastAsia="宋体" w:cs="宋体"/>
          <w:sz w:val="28"/>
          <w:szCs w:val="28"/>
        </w:rPr>
        <w:t>、</w:t>
      </w:r>
      <w:r>
        <w:rPr>
          <w:rFonts w:hint="eastAsia" w:ascii="宋体" w:hAnsi="宋体" w:eastAsia="宋体" w:cs="宋体"/>
          <w:sz w:val="28"/>
          <w:szCs w:val="28"/>
          <w:lang w:val="en-US" w:eastAsia="zh-CN"/>
        </w:rPr>
        <w:t>检测下限：</w:t>
      </w:r>
      <w:r>
        <w:rPr>
          <w:rFonts w:hint="eastAsia" w:ascii="宋体" w:hAnsi="宋体" w:eastAsia="宋体" w:cs="宋体"/>
          <w:b w:val="0"/>
          <w:bCs w:val="0"/>
          <w:sz w:val="28"/>
          <w:szCs w:val="28"/>
          <w:vertAlign w:val="baseline"/>
          <w:lang w:val="en-US" w:eastAsia="zh-CN"/>
        </w:rPr>
        <w:t>结核分枝杆菌≤15个菌/ml（</w:t>
      </w:r>
      <w:r>
        <w:rPr>
          <w:rFonts w:hint="eastAsia" w:ascii="宋体" w:hAnsi="宋体" w:eastAsia="宋体" w:cs="宋体"/>
          <w:snapToGrid w:val="0"/>
          <w:color w:val="000000"/>
          <w:kern w:val="0"/>
          <w:sz w:val="28"/>
          <w:szCs w:val="28"/>
          <w:lang w:val="en-US" w:eastAsia="zh-CN" w:bidi="ar-SA"/>
        </w:rPr>
        <w:t>投标文件需提供NMPA注册版本试剂说明书加以证明）</w:t>
      </w:r>
    </w:p>
    <w:p w14:paraId="54E03C1F">
      <w:pPr>
        <w:keepNext w:val="0"/>
        <w:keepLines w:val="0"/>
        <w:pageBreakBefore w:val="0"/>
        <w:numPr>
          <w:ilvl w:val="0"/>
          <w:numId w:val="0"/>
        </w:numPr>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sz w:val="28"/>
          <w:szCs w:val="28"/>
          <w:highlight w:val="none"/>
          <w:lang w:val="en-US" w:eastAsia="zh-CN"/>
        </w:rPr>
        <w:t>6、设备最大检测通量：≥8个，单次样本同时上机检测数量≥4份样本</w:t>
      </w:r>
      <w:r>
        <w:rPr>
          <w:rFonts w:hint="eastAsia" w:ascii="宋体" w:hAnsi="宋体" w:eastAsia="宋体" w:cs="宋体"/>
          <w:sz w:val="28"/>
          <w:szCs w:val="28"/>
        </w:rPr>
        <w:t>；</w:t>
      </w:r>
    </w:p>
    <w:p w14:paraId="7FB2BA86">
      <w:pPr>
        <w:keepNext w:val="0"/>
        <w:keepLines w:val="0"/>
        <w:pageBreakBefore w:val="0"/>
        <w:numPr>
          <w:ilvl w:val="0"/>
          <w:numId w:val="0"/>
        </w:numPr>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rPr>
        <w:t>荧光检测通道：≥</w:t>
      </w:r>
      <w:r>
        <w:rPr>
          <w:rFonts w:hint="eastAsia" w:ascii="宋体" w:hAnsi="宋体" w:eastAsia="宋体" w:cs="宋体"/>
          <w:sz w:val="28"/>
          <w:szCs w:val="28"/>
          <w:lang w:eastAsia="zh-CN"/>
        </w:rPr>
        <w:t>5；</w:t>
      </w:r>
    </w:p>
    <w:p w14:paraId="39020980">
      <w:pPr>
        <w:keepNext w:val="0"/>
        <w:keepLines w:val="0"/>
        <w:pageBreakBefore w:val="0"/>
        <w:numPr>
          <w:ilvl w:val="0"/>
          <w:numId w:val="0"/>
        </w:numPr>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kern w:val="2"/>
          <w:sz w:val="28"/>
          <w:szCs w:val="28"/>
          <w:lang w:val="en-US" w:eastAsia="zh-CN" w:bidi="ar-SA"/>
        </w:rPr>
        <w:t>*8、</w:t>
      </w:r>
      <w:r>
        <w:rPr>
          <w:rFonts w:hint="eastAsia" w:ascii="宋体" w:hAnsi="宋体" w:eastAsia="宋体" w:cs="宋体"/>
          <w:sz w:val="28"/>
          <w:szCs w:val="28"/>
        </w:rPr>
        <w:t>方法学：采用熔解曲线法进行利福平耐药基因的检测；</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投标文件需提供原厂彩页及官网截图加以证明）</w:t>
      </w:r>
      <w:r>
        <w:rPr>
          <w:rFonts w:hint="eastAsia" w:ascii="宋体" w:hAnsi="宋体" w:eastAsia="宋体" w:cs="宋体"/>
          <w:sz w:val="28"/>
          <w:szCs w:val="28"/>
        </w:rPr>
        <w:t>；</w:t>
      </w:r>
    </w:p>
    <w:p w14:paraId="449D3405">
      <w:pPr>
        <w:keepNext w:val="0"/>
        <w:keepLines w:val="0"/>
        <w:pageBreakBefore w:val="0"/>
        <w:widowControl/>
        <w:kinsoku/>
        <w:overflowPunct/>
        <w:topLinePunct w:val="0"/>
        <w:autoSpaceDE/>
        <w:autoSpaceDN/>
        <w:bidi w:val="0"/>
        <w:adjustRightInd/>
        <w:snapToGrid/>
        <w:spacing w:line="360" w:lineRule="auto"/>
        <w:jc w:val="left"/>
        <w:rPr>
          <w:rFonts w:hint="eastAsia" w:ascii="宋体" w:hAnsi="宋体" w:eastAsia="宋体" w:cs="宋体"/>
          <w:sz w:val="28"/>
          <w:szCs w:val="28"/>
          <w:lang w:eastAsia="zh-CN"/>
        </w:rPr>
      </w:pPr>
      <w:r>
        <w:rPr>
          <w:rFonts w:hint="eastAsia" w:ascii="宋体" w:hAnsi="宋体" w:eastAsia="宋体" w:cs="宋体"/>
          <w:sz w:val="28"/>
          <w:szCs w:val="28"/>
          <w:lang w:val="en-US" w:eastAsia="zh-CN"/>
        </w:rPr>
        <w:t>9</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设备为台式设计，可置于生物安全柜中；</w:t>
      </w:r>
    </w:p>
    <w:p w14:paraId="56532AEA">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10</w:t>
      </w:r>
      <w:r>
        <w:rPr>
          <w:rFonts w:hint="eastAsia" w:ascii="宋体" w:hAnsi="宋体" w:eastAsia="宋体" w:cs="宋体"/>
          <w:sz w:val="28"/>
          <w:szCs w:val="28"/>
        </w:rPr>
        <w:t>、PCR扩增装置为薄片式反应腔</w:t>
      </w:r>
      <w:r>
        <w:rPr>
          <w:rFonts w:hint="eastAsia" w:ascii="宋体" w:hAnsi="宋体" w:eastAsia="宋体" w:cs="宋体"/>
          <w:sz w:val="28"/>
          <w:szCs w:val="28"/>
          <w:lang w:val="en-US" w:eastAsia="zh-CN"/>
        </w:rPr>
        <w:t>或常规PCR八连排管</w:t>
      </w:r>
      <w:r>
        <w:rPr>
          <w:rFonts w:hint="eastAsia" w:ascii="宋体" w:hAnsi="宋体" w:eastAsia="宋体" w:cs="宋体"/>
          <w:sz w:val="28"/>
          <w:szCs w:val="28"/>
        </w:rPr>
        <w:t>，以提升升降温速率，投标文件需提供薄片式反应腔实物图加以证明；</w:t>
      </w:r>
    </w:p>
    <w:p w14:paraId="2CE1C45F">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11</w:t>
      </w:r>
      <w:r>
        <w:rPr>
          <w:rFonts w:hint="eastAsia" w:ascii="宋体" w:hAnsi="宋体" w:eastAsia="宋体" w:cs="宋体"/>
          <w:sz w:val="28"/>
          <w:szCs w:val="28"/>
        </w:rPr>
        <w:t>、最大升温速率≥</w:t>
      </w:r>
      <w:r>
        <w:rPr>
          <w:rFonts w:hint="eastAsia" w:ascii="宋体" w:hAnsi="宋体" w:eastAsia="宋体" w:cs="宋体"/>
          <w:sz w:val="28"/>
          <w:szCs w:val="28"/>
          <w:lang w:val="en-US" w:eastAsia="zh-CN"/>
        </w:rPr>
        <w:t>5</w:t>
      </w:r>
      <w:r>
        <w:rPr>
          <w:rFonts w:hint="eastAsia" w:ascii="宋体" w:hAnsi="宋体" w:eastAsia="宋体" w:cs="宋体"/>
          <w:sz w:val="28"/>
          <w:szCs w:val="28"/>
        </w:rPr>
        <w:t>℃/s，</w:t>
      </w:r>
      <w:r>
        <w:rPr>
          <w:rFonts w:hint="eastAsia" w:ascii="宋体" w:hAnsi="宋体" w:eastAsia="宋体" w:cs="宋体"/>
          <w:sz w:val="28"/>
          <w:szCs w:val="28"/>
          <w:lang w:val="en-US" w:eastAsia="zh-CN"/>
        </w:rPr>
        <w:t>（</w:t>
      </w:r>
      <w:r>
        <w:rPr>
          <w:rFonts w:hint="eastAsia" w:ascii="宋体" w:hAnsi="宋体" w:eastAsia="宋体" w:cs="宋体"/>
          <w:sz w:val="28"/>
          <w:szCs w:val="28"/>
        </w:rPr>
        <w:t>投标文件需提供NMPA下属检测机构出具的检验报告加以证明</w:t>
      </w:r>
      <w:r>
        <w:rPr>
          <w:rFonts w:hint="eastAsia" w:ascii="宋体" w:hAnsi="宋体" w:eastAsia="宋体" w:cs="宋体"/>
          <w:sz w:val="28"/>
          <w:szCs w:val="28"/>
          <w:lang w:eastAsia="zh-CN"/>
        </w:rPr>
        <w:t>）</w:t>
      </w:r>
      <w:r>
        <w:rPr>
          <w:rFonts w:hint="eastAsia" w:ascii="宋体" w:hAnsi="宋体" w:eastAsia="宋体" w:cs="宋体"/>
          <w:sz w:val="28"/>
          <w:szCs w:val="28"/>
        </w:rPr>
        <w:t>；</w:t>
      </w:r>
    </w:p>
    <w:p w14:paraId="0CF06ABD">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*12、</w:t>
      </w:r>
      <w:r>
        <w:rPr>
          <w:rFonts w:hint="eastAsia" w:ascii="宋体" w:hAnsi="宋体" w:eastAsia="宋体" w:cs="宋体"/>
          <w:sz w:val="28"/>
          <w:szCs w:val="28"/>
        </w:rPr>
        <w:t>最大降温速率≥</w:t>
      </w:r>
      <w:r>
        <w:rPr>
          <w:rFonts w:hint="eastAsia" w:ascii="宋体" w:hAnsi="宋体" w:eastAsia="宋体" w:cs="宋体"/>
          <w:sz w:val="28"/>
          <w:szCs w:val="28"/>
          <w:lang w:val="en-US" w:eastAsia="zh-CN"/>
        </w:rPr>
        <w:t>3.5</w:t>
      </w:r>
      <w:r>
        <w:rPr>
          <w:rFonts w:hint="eastAsia" w:ascii="宋体" w:hAnsi="宋体" w:eastAsia="宋体" w:cs="宋体"/>
          <w:sz w:val="28"/>
          <w:szCs w:val="28"/>
        </w:rPr>
        <w:t>℃/s</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w:t>
      </w:r>
      <w:r>
        <w:rPr>
          <w:rFonts w:hint="eastAsia" w:ascii="宋体" w:hAnsi="宋体" w:eastAsia="宋体" w:cs="宋体"/>
          <w:sz w:val="28"/>
          <w:szCs w:val="28"/>
        </w:rPr>
        <w:t>投标文件需提供NMPA下属检测机构出具的检验报告加以证明</w:t>
      </w:r>
      <w:r>
        <w:rPr>
          <w:rFonts w:hint="eastAsia" w:ascii="宋体" w:hAnsi="宋体" w:eastAsia="宋体" w:cs="宋体"/>
          <w:sz w:val="28"/>
          <w:szCs w:val="28"/>
          <w:lang w:eastAsia="zh-CN"/>
        </w:rPr>
        <w:t>）</w:t>
      </w:r>
      <w:r>
        <w:rPr>
          <w:rFonts w:hint="eastAsia" w:ascii="宋体" w:hAnsi="宋体" w:eastAsia="宋体" w:cs="宋体"/>
          <w:sz w:val="28"/>
          <w:szCs w:val="28"/>
        </w:rPr>
        <w:t>；</w:t>
      </w:r>
    </w:p>
    <w:p w14:paraId="12FCD729">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*13、</w:t>
      </w:r>
      <w:r>
        <w:rPr>
          <w:rFonts w:hint="eastAsia" w:ascii="宋体" w:hAnsi="宋体" w:eastAsia="宋体" w:cs="宋体"/>
          <w:sz w:val="28"/>
          <w:szCs w:val="28"/>
        </w:rPr>
        <w:t>设备重量：≤</w:t>
      </w:r>
      <w:r>
        <w:rPr>
          <w:rFonts w:hint="eastAsia" w:ascii="宋体" w:hAnsi="宋体" w:eastAsia="宋体" w:cs="宋体"/>
          <w:sz w:val="28"/>
          <w:szCs w:val="28"/>
          <w:lang w:val="en-US" w:eastAsia="zh-CN"/>
        </w:rPr>
        <w:t>55</w:t>
      </w:r>
      <w:r>
        <w:rPr>
          <w:rFonts w:hint="eastAsia" w:ascii="宋体" w:hAnsi="宋体" w:eastAsia="宋体" w:cs="宋体"/>
          <w:sz w:val="28"/>
          <w:szCs w:val="28"/>
        </w:rPr>
        <w:t>kg</w:t>
      </w:r>
    </w:p>
    <w:p w14:paraId="519E60B0">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14</w:t>
      </w:r>
      <w:r>
        <w:rPr>
          <w:rFonts w:hint="eastAsia" w:ascii="宋体" w:hAnsi="宋体" w:eastAsia="宋体" w:cs="宋体"/>
          <w:sz w:val="28"/>
          <w:szCs w:val="28"/>
        </w:rPr>
        <w:t>、设备为全集成设备，仪器在样本转移时无需通过移液臂等机械装置进行样本或产物的中间转移，避免样本间的交叉污染；</w:t>
      </w:r>
      <w:r>
        <w:rPr>
          <w:rFonts w:hint="eastAsia" w:ascii="宋体" w:hAnsi="宋体" w:eastAsia="宋体" w:cs="宋体"/>
          <w:sz w:val="28"/>
          <w:szCs w:val="28"/>
          <w:lang w:eastAsia="zh-CN"/>
        </w:rPr>
        <w:t>。</w:t>
      </w:r>
    </w:p>
    <w:p w14:paraId="665B6545">
      <w:pPr>
        <w:keepNext w:val="0"/>
        <w:keepLines w:val="0"/>
        <w:pageBreakBefore w:val="0"/>
        <w:kinsoku/>
        <w:overflowPunct/>
        <w:topLinePunct w:val="0"/>
        <w:autoSpaceDE/>
        <w:autoSpaceDN/>
        <w:bidi w:val="0"/>
        <w:adjustRightInd/>
        <w:snapToGrid/>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15</w:t>
      </w:r>
      <w:r>
        <w:rPr>
          <w:rFonts w:hint="eastAsia" w:ascii="宋体" w:hAnsi="宋体" w:eastAsia="宋体" w:cs="宋体"/>
          <w:sz w:val="28"/>
          <w:szCs w:val="28"/>
        </w:rPr>
        <w:t>、数据导出：Excel或Txt格式，用户报告可直接打印或保存为PDF；具有LIS接口，</w:t>
      </w:r>
      <w:r>
        <w:rPr>
          <w:rFonts w:hint="eastAsia" w:ascii="宋体" w:hAnsi="宋体" w:eastAsia="宋体" w:cs="宋体"/>
          <w:sz w:val="28"/>
          <w:szCs w:val="28"/>
          <w:lang w:val="en-US" w:eastAsia="zh-CN"/>
        </w:rPr>
        <w:t>须</w:t>
      </w:r>
      <w:r>
        <w:rPr>
          <w:rFonts w:hint="eastAsia" w:ascii="宋体" w:hAnsi="宋体" w:eastAsia="宋体" w:cs="宋体"/>
          <w:sz w:val="28"/>
          <w:szCs w:val="28"/>
        </w:rPr>
        <w:t>连接LIS系统；</w:t>
      </w:r>
    </w:p>
    <w:p w14:paraId="33E9FD9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B85ADB"/>
    <w:rsid w:val="4FB85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spacing w:beforeLines="0" w:afterLines="0"/>
    </w:pPr>
    <w:rPr>
      <w:rFonts w:hint="eastAsia" w:ascii="宋体" w:hAnsi="宋体" w:eastAsia="宋体" w:cs="宋体"/>
      <w:color w:val="000000"/>
      <w:sz w:val="32"/>
      <w:szCs w:val="3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2025-12-17T03:05:00Z</dcterms:created>
  <dc:creator>Administrator</dc:creator>
  <cp:lastModifiedBy>Administrator</cp:lastModifiedBy>
  <dcterms:modified xsi:type="dcterms:W3CDTF">2025-12-17T03:06:04Z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405D7899CD074C2DA9E61ED260A64F05_11</vt:lpwstr>
  </property>
  <property fmtid="{D5CDD505-2E9C-101B-9397-08002B2CF9AE}" pid="4" name="KSOTemplateDocerSaveRecord">
    <vt:lpwstr>eyJoZGlkIjoiYWZhNmM2YjhmZmU3ZWZiZjI4ZjZhZTE5MThmMGFiOGIifQ==</vt:lpwstr>
  </property>
</Properties>
</file>